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22" w:rsidRPr="00CE4022" w:rsidRDefault="00CE4022" w:rsidP="00CE4022">
      <w:pPr>
        <w:shd w:val="clear" w:color="auto" w:fill="FFFFFF"/>
        <w:spacing w:before="166" w:after="117" w:line="26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"Пушкинская карта" для молодежи - что это такое?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FF0066"/>
          <w:sz w:val="24"/>
          <w:szCs w:val="24"/>
          <w:lang w:eastAsia="ru-RU"/>
        </w:rPr>
        <w:t> </w:t>
      </w: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Министерство культуры РФ запустило программу социальной поддержки молодежи «Пушкинская карта» для повышения интереса среди молодёжи к изучению художественной культуры и искусства. Сейчас в стране насчитывается порядка 13 </w:t>
      </w:r>
      <w:proofErr w:type="spellStart"/>
      <w:proofErr w:type="gram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млн</w:t>
      </w:r>
      <w:proofErr w:type="spellEnd"/>
      <w:proofErr w:type="gram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молодых людей, которым, как планируют власти, будет предоставлен бесплатный доступ к театрам и музеям. Кроме того, предполагается, что данная инициатива может стать хорошей мерой поддержки для культурных учреждений России, повысив их популярность.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Каждый гражданин России в возрасте от 14 до 22 лет получает именную электронную карту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«Пушкинская карта» – это карта «Мир», на которую государство будет перечислять денежные средства ежегодно, чтобы молодёжь смогла беспрепятственно посещать культурные учреждения.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Электронную карту можно получить в приложении для мобильных телефонов «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Госуслуги</w:t>
      </w:r>
      <w:proofErr w:type="gram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ультура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». В нём же можно приобрести билеты, которые не придётся распечатывать. Приложение доступно для пользователей 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iOS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Android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Пластиковую карту можно получить в любом отделении «Почта Банка».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2980B9"/>
          <w:sz w:val="24"/>
          <w:szCs w:val="24"/>
          <w:lang w:eastAsia="ru-RU"/>
        </w:rPr>
        <w:t>Как оформить карту?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Подать заявление можно на портале «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Госуслуг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proofErr w:type="gram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Действовать карта начнёт с 1 сентября 2021 года, а закончит – 31 декабря. С января 2022 года карта будет 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перевыпущена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сроком на один календарный год.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пилотном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 году карта действует с 1 сентября по 31 декабря с номиналом в 3 тысячи рублей.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Номинал карты с января 2022 года – 5 тысяч рублей на весь год. Начиная с 1 января 2022 года, ежегодно на карту будут перечисляться единовременно новые деньги – и так до того дня, когда молодому человеку исполнится 23 года.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можно потратить только на культурный досуг – купить билеты в музеи, театры, галереи, филармонии, консерватории и другие учреждения культуры, причем не только в регионе проживания.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Получить карту можно через портал 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Госуслуги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 отделениях Почта Банка, в том числе в точках обслуживания, где работает сотрудник банка.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 о том какие события (спектакли, выставки, концерты и др.) можно посетить в Краснодарском крае по Пушкинской карте, будет появляться: на портале </w:t>
      </w:r>
      <w:proofErr w:type="spell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</w:t>
      </w:r>
      <w:proofErr w:type="gramStart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.Р</w:t>
      </w:r>
      <w:proofErr w:type="gram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</w:t>
      </w:r>
      <w:proofErr w:type="spellEnd"/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на сайтах организаций культуры, участвующих в программе, билетных систем и операторов.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Правилами программы покупка билета третьим лицам запрещена.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билеты, по «Пушкинской карте», именные.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соблюдения данных правил у молодого человека могут попросить документ, подтверждающий личность, во время покупки билета.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Приложения:</w:t>
      </w:r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hyperlink r:id="rId4" w:history="1"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 xml:space="preserve">Инструкция по оформлению Пушкинской карты на портале </w:t>
        </w:r>
        <w:proofErr w:type="spellStart"/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Госуслуги</w:t>
        </w:r>
        <w:proofErr w:type="spellEnd"/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;</w:t>
        </w:r>
      </w:hyperlink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hyperlink r:id="rId5" w:history="1"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 xml:space="preserve">Инструкция по оформлению Пушкинской карты </w:t>
        </w:r>
        <w:proofErr w:type="gramStart"/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в</w:t>
        </w:r>
        <w:proofErr w:type="gramEnd"/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 xml:space="preserve"> </w:t>
        </w:r>
        <w:proofErr w:type="gramStart"/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Почта</w:t>
        </w:r>
        <w:proofErr w:type="gramEnd"/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 xml:space="preserve"> Банк;</w:t>
        </w:r>
      </w:hyperlink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hyperlink r:id="rId6" w:history="1"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Презентация по Пушкинской карте для учреждений образования.</w:t>
        </w:r>
      </w:hyperlink>
    </w:p>
    <w:p w:rsidR="00CE4022" w:rsidRPr="00CE4022" w:rsidRDefault="00CE4022" w:rsidP="00CE4022">
      <w:pPr>
        <w:shd w:val="clear" w:color="auto" w:fill="FFFFFF"/>
        <w:spacing w:before="50" w:after="11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0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hyperlink r:id="rId7" w:history="1">
        <w:r w:rsidRPr="00CE4022">
          <w:rPr>
            <w:rFonts w:ascii="Times New Roman" w:eastAsia="Times New Roman" w:hAnsi="Times New Roman" w:cs="Times New Roman"/>
            <w:b/>
            <w:bCs/>
            <w:color w:val="306AFD"/>
            <w:sz w:val="24"/>
            <w:szCs w:val="24"/>
            <w:lang w:eastAsia="ru-RU"/>
          </w:rPr>
          <w:t>Методические рекомендации по работе в программе "Пушкинская карта"</w:t>
        </w:r>
      </w:hyperlink>
    </w:p>
    <w:p w:rsidR="008F4882" w:rsidRDefault="008F4882"/>
    <w:sectPr w:rsidR="008F4882" w:rsidSect="00CE40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022"/>
    <w:rsid w:val="008F4882"/>
    <w:rsid w:val="00CE4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882"/>
  </w:style>
  <w:style w:type="paragraph" w:styleId="2">
    <w:name w:val="heading 2"/>
    <w:basedOn w:val="a"/>
    <w:link w:val="20"/>
    <w:uiPriority w:val="9"/>
    <w:qFormat/>
    <w:rsid w:val="00CE40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40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022"/>
    <w:rPr>
      <w:b/>
      <w:bCs/>
    </w:rPr>
  </w:style>
  <w:style w:type="character" w:styleId="a5">
    <w:name w:val="Hyperlink"/>
    <w:basedOn w:val="a0"/>
    <w:uiPriority w:val="99"/>
    <w:semiHidden/>
    <w:unhideWhenUsed/>
    <w:rsid w:val="00CE40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77720">
          <w:marLeft w:val="0"/>
          <w:marRight w:val="0"/>
          <w:marTop w:val="0"/>
          <w:marBottom w:val="0"/>
          <w:divBdr>
            <w:top w:val="single" w:sz="12" w:space="0" w:color="CF369C"/>
            <w:left w:val="single" w:sz="12" w:space="0" w:color="CF369C"/>
            <w:bottom w:val="single" w:sz="12" w:space="0" w:color="CF369C"/>
            <w:right w:val="single" w:sz="12" w:space="0" w:color="CF369C"/>
          </w:divBdr>
          <w:divsChild>
            <w:div w:id="206952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o.culture.ru/documentation/pushkin_card_manual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kola23inarki-r26.gosweb.gosuslugi.ru/netcat_files/30/66/prezentaciya_po_pushkinskoy_karte.pdf" TargetMode="External"/><Relationship Id="rId5" Type="http://schemas.openxmlformats.org/officeDocument/2006/relationships/hyperlink" Target="https://shkola23inarki-r26.gosweb.gosuslugi.ru/netcat_files/30/66/instrukciyadlyaklienta.pdf" TargetMode="External"/><Relationship Id="rId4" Type="http://schemas.openxmlformats.org/officeDocument/2006/relationships/hyperlink" Target="https://shkola23inarki-r26.gosweb.gosuslugi.ru/netcat_files/30/66/instrukciya_po_oformleniyu_pushkinskoy_kartyi_v_priloj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2025-05-14T09:33:00Z</dcterms:created>
  <dcterms:modified xsi:type="dcterms:W3CDTF">2025-05-14T09:38:00Z</dcterms:modified>
</cp:coreProperties>
</file>